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4A" w:rsidRPr="009E3A4A" w:rsidRDefault="00457E9D" w:rsidP="009E3A4A">
      <w:pPr>
        <w:jc w:val="left"/>
        <w:rPr>
          <w:rFonts w:asciiTheme="minorEastAsia" w:hAnsiTheme="minorEastAsia" w:hint="eastAsia"/>
          <w:sz w:val="20"/>
          <w:szCs w:val="20"/>
        </w:rPr>
      </w:pPr>
      <w:r w:rsidRPr="009E3A4A">
        <w:rPr>
          <w:rFonts w:asciiTheme="minorEastAsia" w:hAnsiTheme="minorEastAsia"/>
          <w:sz w:val="20"/>
          <w:szCs w:val="20"/>
        </w:rPr>
        <w:t>第</w:t>
      </w:r>
      <w:r w:rsidR="00F836E6" w:rsidRPr="009E3A4A">
        <w:rPr>
          <w:rFonts w:asciiTheme="minorEastAsia" w:hAnsiTheme="minorEastAsia" w:hint="eastAsia"/>
          <w:sz w:val="20"/>
          <w:szCs w:val="20"/>
        </w:rPr>
        <w:t>1</w:t>
      </w:r>
      <w:r w:rsidR="00E85E5C" w:rsidRPr="009E3A4A">
        <w:rPr>
          <w:rFonts w:asciiTheme="minorEastAsia" w:hAnsiTheme="minorEastAsia" w:hint="eastAsia"/>
          <w:sz w:val="20"/>
          <w:szCs w:val="20"/>
        </w:rPr>
        <w:t>5</w:t>
      </w:r>
      <w:r w:rsidR="000C19B9" w:rsidRPr="009E3A4A">
        <w:rPr>
          <w:rFonts w:asciiTheme="minorEastAsia" w:hAnsiTheme="minorEastAsia" w:hint="eastAsia"/>
          <w:sz w:val="20"/>
          <w:szCs w:val="20"/>
        </w:rPr>
        <w:t>9</w:t>
      </w:r>
      <w:r w:rsidRPr="009E3A4A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9E3A4A" w:rsidRPr="009E3A4A" w:rsidRDefault="009E3A4A" w:rsidP="009E3A4A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9E3A4A" w:rsidRPr="009E3A4A" w:rsidRDefault="00457E9D" w:rsidP="009E3A4A">
      <w:pPr>
        <w:jc w:val="left"/>
        <w:rPr>
          <w:rFonts w:asciiTheme="minorEastAsia" w:hAnsiTheme="minorEastAsia" w:hint="eastAsia"/>
          <w:sz w:val="20"/>
          <w:szCs w:val="20"/>
        </w:rPr>
      </w:pPr>
      <w:r w:rsidRPr="009E3A4A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9E3A4A" w:rsidRPr="009E3A4A" w:rsidRDefault="009E3A4A" w:rsidP="009E3A4A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0C19B9" w:rsidRPr="009E3A4A" w:rsidRDefault="000C19B9" w:rsidP="009E3A4A">
      <w:pPr>
        <w:jc w:val="left"/>
        <w:rPr>
          <w:rFonts w:asciiTheme="minorEastAsia" w:hAnsiTheme="minorEastAsia"/>
          <w:sz w:val="20"/>
          <w:szCs w:val="20"/>
        </w:rPr>
      </w:pPr>
      <w:r w:rsidRPr="009E3A4A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9E3A4A">
        <w:rPr>
          <w:rFonts w:asciiTheme="minorEastAsia" w:hAnsiTheme="minorEastAsia"/>
          <w:sz w:val="20"/>
          <w:szCs w:val="20"/>
        </w:rPr>
        <w:t xml:space="preserve"> </w:t>
      </w:r>
    </w:p>
    <w:p w:rsidR="000C19B9" w:rsidRPr="009E3A4A" w:rsidRDefault="000C19B9" w:rsidP="009E3A4A">
      <w:pPr>
        <w:jc w:val="left"/>
        <w:rPr>
          <w:rFonts w:asciiTheme="minorEastAsia" w:hAnsiTheme="minorEastAsia"/>
          <w:sz w:val="20"/>
          <w:szCs w:val="20"/>
        </w:rPr>
      </w:pPr>
    </w:p>
    <w:p w:rsidR="000C19B9" w:rsidRPr="009E3A4A" w:rsidRDefault="000C19B9" w:rsidP="009E3A4A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9E3A4A">
        <w:rPr>
          <w:rFonts w:asciiTheme="minorEastAsia" w:hAnsiTheme="minorEastAsia" w:hint="eastAsia"/>
          <w:sz w:val="20"/>
          <w:szCs w:val="20"/>
        </w:rPr>
        <w:t>受付番号</w:t>
      </w:r>
      <w:r w:rsidRPr="009E3A4A">
        <w:rPr>
          <w:rFonts w:asciiTheme="minorEastAsia" w:hAnsiTheme="minorEastAsia"/>
          <w:sz w:val="20"/>
          <w:szCs w:val="20"/>
        </w:rPr>
        <w:t>555</w:t>
      </w:r>
      <w:r w:rsidRPr="009E3A4A">
        <w:rPr>
          <w:rFonts w:asciiTheme="minorEastAsia" w:hAnsiTheme="minorEastAsia" w:hint="eastAsia"/>
          <w:sz w:val="20"/>
          <w:szCs w:val="20"/>
        </w:rPr>
        <w:t>号：</w:t>
      </w:r>
      <w:r w:rsidRPr="009E3A4A">
        <w:rPr>
          <w:rFonts w:asciiTheme="minorEastAsia" w:hAnsiTheme="minorEastAsia"/>
          <w:sz w:val="20"/>
          <w:szCs w:val="20"/>
        </w:rPr>
        <w:t>Growth hormone releasing peptide(GHRP)-2</w:t>
      </w:r>
      <w:r w:rsidRPr="009E3A4A">
        <w:rPr>
          <w:rFonts w:asciiTheme="minorEastAsia" w:hAnsiTheme="minorEastAsia" w:hint="eastAsia"/>
          <w:sz w:val="20"/>
          <w:szCs w:val="20"/>
        </w:rPr>
        <w:t>負荷試験の視床下部下垂体障害の診断に対する有用性の臨床検討</w:t>
      </w:r>
    </w:p>
    <w:p w:rsidR="000C19B9" w:rsidRPr="009E3A4A" w:rsidRDefault="000C19B9" w:rsidP="009E3A4A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9E3A4A">
        <w:rPr>
          <w:rFonts w:asciiTheme="minorEastAsia" w:hAnsiTheme="minorEastAsia" w:hint="eastAsia"/>
          <w:noProof/>
          <w:sz w:val="20"/>
          <w:szCs w:val="20"/>
        </w:rPr>
        <w:t>医学部・歯学部附属病病院　血液・内分泌・糖尿病センター　糖尿病・内分泌内科</w:t>
      </w:r>
    </w:p>
    <w:p w:rsidR="000C19B9" w:rsidRPr="009E3A4A" w:rsidRDefault="000C19B9" w:rsidP="009E3A4A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noProof/>
          <w:sz w:val="20"/>
          <w:szCs w:val="20"/>
        </w:rPr>
      </w:pPr>
      <w:r w:rsidRPr="009E3A4A">
        <w:rPr>
          <w:rFonts w:asciiTheme="minorEastAsia" w:hAnsiTheme="minorEastAsia" w:hint="eastAsia"/>
          <w:noProof/>
          <w:sz w:val="20"/>
          <w:szCs w:val="20"/>
        </w:rPr>
        <w:t>助教　橋口　裕</w:t>
      </w:r>
      <w:bookmarkStart w:id="0" w:name="_GoBack"/>
      <w:bookmarkEnd w:id="0"/>
    </w:p>
    <w:p w:rsidR="00F836E6" w:rsidRPr="009E3A4A" w:rsidRDefault="00F836E6" w:rsidP="009E3A4A">
      <w:pPr>
        <w:jc w:val="left"/>
        <w:rPr>
          <w:rFonts w:asciiTheme="minorEastAsia" w:hAnsiTheme="minorEastAsia"/>
          <w:sz w:val="20"/>
          <w:szCs w:val="20"/>
        </w:rPr>
      </w:pPr>
      <w:r w:rsidRPr="009E3A4A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9E3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33D8"/>
    <w:rsid w:val="009776C9"/>
    <w:rsid w:val="009B35A0"/>
    <w:rsid w:val="009E3A4A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2015-12-01T06:11:00Z</dcterms:created>
  <dcterms:modified xsi:type="dcterms:W3CDTF">2015-12-09T04:37:00Z</dcterms:modified>
</cp:coreProperties>
</file>